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DCC" w:rsidRPr="005E104B" w:rsidRDefault="005E104B" w:rsidP="005E104B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E104B">
        <w:rPr>
          <w:rFonts w:ascii="Times New Roman" w:hAnsi="Times New Roman" w:cs="Times New Roman"/>
          <w:b/>
          <w:sz w:val="28"/>
          <w:szCs w:val="28"/>
        </w:rPr>
        <w:t>Филькин М.Е.</w:t>
      </w:r>
    </w:p>
    <w:p w:rsidR="005E104B" w:rsidRPr="005E104B" w:rsidRDefault="005E104B" w:rsidP="005E104B">
      <w:pPr>
        <w:spacing w:line="240" w:lineRule="auto"/>
        <w:contextualSpacing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E104B">
        <w:rPr>
          <w:rFonts w:ascii="Times New Roman" w:hAnsi="Times New Roman" w:cs="Times New Roman"/>
          <w:i/>
          <w:sz w:val="28"/>
          <w:szCs w:val="28"/>
        </w:rPr>
        <w:t>Москва, ЦЭМИ РАН</w:t>
      </w:r>
    </w:p>
    <w:p w:rsidR="005E104B" w:rsidRPr="005E104B" w:rsidRDefault="005E104B" w:rsidP="005E104B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mfilkin</w:t>
      </w:r>
      <w:proofErr w:type="spellEnd"/>
      <w:r w:rsidRPr="00E50E59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E50E59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5E104B" w:rsidRDefault="005E104B" w:rsidP="005E104B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5E104B" w:rsidRPr="00E50E59" w:rsidRDefault="009A4C76" w:rsidP="007001F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0E59">
        <w:rPr>
          <w:rFonts w:ascii="Times New Roman" w:hAnsi="Times New Roman" w:cs="Times New Roman"/>
          <w:b/>
          <w:sz w:val="28"/>
          <w:szCs w:val="28"/>
        </w:rPr>
        <w:t>ИНВЕСТИЦИОННАЯ ПРИВЛЕКАТЕЛЬНОСТЬ</w:t>
      </w:r>
      <w:r w:rsidR="005E104B" w:rsidRPr="00E50E59">
        <w:rPr>
          <w:rFonts w:ascii="Times New Roman" w:hAnsi="Times New Roman" w:cs="Times New Roman"/>
          <w:b/>
          <w:sz w:val="28"/>
          <w:szCs w:val="28"/>
        </w:rPr>
        <w:t xml:space="preserve"> ИГРОВОЙ ИНДУСТРИИ И КИБЕРСПОРТА</w:t>
      </w:r>
    </w:p>
    <w:p w:rsidR="009A4C76" w:rsidRDefault="009A4C76" w:rsidP="005E104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94734" w:rsidRDefault="00B94734" w:rsidP="00A37C1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Игровая индустрия за короткий по историческим масштабам срок превратилась из объекта увлечения относительно малой группы энтузиастов в глобальный многомиллиардный сектор развлечений. За</w:t>
      </w:r>
      <w:r w:rsidRPr="00B94734">
        <w:rPr>
          <w:rFonts w:ascii="Times New Roman" w:hAnsi="Times New Roman" w:cs="Times New Roman"/>
          <w:sz w:val="28"/>
          <w:szCs w:val="28"/>
        </w:rPr>
        <w:t xml:space="preserve"> 20</w:t>
      </w:r>
      <w:r w:rsidR="000F2CFE">
        <w:rPr>
          <w:rFonts w:ascii="Times New Roman" w:hAnsi="Times New Roman" w:cs="Times New Roman"/>
          <w:sz w:val="28"/>
          <w:szCs w:val="28"/>
        </w:rPr>
        <w:t>20</w:t>
      </w:r>
      <w:r w:rsidRPr="00B94734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 xml:space="preserve">данная отрасль </w:t>
      </w:r>
      <w:r w:rsidRPr="00B94734">
        <w:rPr>
          <w:rFonts w:ascii="Times New Roman" w:hAnsi="Times New Roman" w:cs="Times New Roman"/>
          <w:sz w:val="28"/>
          <w:szCs w:val="28"/>
        </w:rPr>
        <w:t>заработа</w:t>
      </w:r>
      <w:r w:rsidR="000F2CFE">
        <w:rPr>
          <w:rFonts w:ascii="Times New Roman" w:hAnsi="Times New Roman" w:cs="Times New Roman"/>
          <w:sz w:val="28"/>
          <w:szCs w:val="28"/>
        </w:rPr>
        <w:t>ет по оценкам</w:t>
      </w:r>
      <w:r w:rsidRPr="00B94734">
        <w:rPr>
          <w:rFonts w:ascii="Times New Roman" w:hAnsi="Times New Roman" w:cs="Times New Roman"/>
          <w:sz w:val="28"/>
          <w:szCs w:val="28"/>
        </w:rPr>
        <w:t xml:space="preserve"> 15</w:t>
      </w:r>
      <w:r w:rsidR="00734C79" w:rsidRPr="00734C79">
        <w:rPr>
          <w:rFonts w:ascii="Times New Roman" w:hAnsi="Times New Roman" w:cs="Times New Roman"/>
          <w:sz w:val="28"/>
          <w:szCs w:val="28"/>
        </w:rPr>
        <w:t>9</w:t>
      </w:r>
      <w:r w:rsidRPr="00B94734">
        <w:rPr>
          <w:rFonts w:ascii="Times New Roman" w:hAnsi="Times New Roman" w:cs="Times New Roman"/>
          <w:sz w:val="28"/>
          <w:szCs w:val="28"/>
        </w:rPr>
        <w:t>.</w:t>
      </w:r>
      <w:r w:rsidR="00734C79" w:rsidRPr="00734C79">
        <w:rPr>
          <w:rFonts w:ascii="Times New Roman" w:hAnsi="Times New Roman" w:cs="Times New Roman"/>
          <w:sz w:val="28"/>
          <w:szCs w:val="28"/>
        </w:rPr>
        <w:t>3</w:t>
      </w:r>
      <w:r w:rsidRPr="00B94734">
        <w:rPr>
          <w:rFonts w:ascii="Times New Roman" w:hAnsi="Times New Roman" w:cs="Times New Roman"/>
          <w:sz w:val="28"/>
          <w:szCs w:val="28"/>
        </w:rPr>
        <w:t xml:space="preserve"> млрд. долларов(включая игры на мобильных устройствах).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B94734">
        <w:rPr>
          <w:rFonts w:ascii="Times New Roman" w:hAnsi="Times New Roman" w:cs="Times New Roman"/>
          <w:sz w:val="28"/>
          <w:szCs w:val="28"/>
        </w:rPr>
        <w:t>о сравнению с 201</w:t>
      </w:r>
      <w:r w:rsidR="000F2CFE">
        <w:rPr>
          <w:rFonts w:ascii="Times New Roman" w:hAnsi="Times New Roman" w:cs="Times New Roman"/>
          <w:sz w:val="28"/>
          <w:szCs w:val="28"/>
        </w:rPr>
        <w:t>9</w:t>
      </w:r>
      <w:r w:rsidRPr="00B94734">
        <w:rPr>
          <w:rFonts w:ascii="Times New Roman" w:hAnsi="Times New Roman" w:cs="Times New Roman"/>
          <w:sz w:val="28"/>
          <w:szCs w:val="28"/>
        </w:rPr>
        <w:t xml:space="preserve"> годом </w:t>
      </w:r>
      <w:r>
        <w:rPr>
          <w:rFonts w:ascii="Times New Roman" w:hAnsi="Times New Roman" w:cs="Times New Roman"/>
          <w:sz w:val="28"/>
          <w:szCs w:val="28"/>
        </w:rPr>
        <w:t>рост выручки состави</w:t>
      </w:r>
      <w:r w:rsidR="000F2CF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+9.</w:t>
      </w:r>
      <w:r w:rsidR="00734C79" w:rsidRPr="00734C7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%. </w:t>
      </w:r>
      <w:r w:rsidR="007605D0">
        <w:rPr>
          <w:rFonts w:ascii="Times New Roman" w:hAnsi="Times New Roman" w:cs="Times New Roman"/>
          <w:sz w:val="28"/>
          <w:szCs w:val="28"/>
        </w:rPr>
        <w:t>Чтобы оценить масштаб</w:t>
      </w:r>
      <w:r w:rsidR="00734C79">
        <w:rPr>
          <w:rFonts w:ascii="Times New Roman" w:hAnsi="Times New Roman" w:cs="Times New Roman"/>
          <w:sz w:val="28"/>
          <w:szCs w:val="28"/>
        </w:rPr>
        <w:t>доходов</w:t>
      </w:r>
      <w:r w:rsidR="007605D0">
        <w:rPr>
          <w:rFonts w:ascii="Times New Roman" w:hAnsi="Times New Roman" w:cs="Times New Roman"/>
          <w:sz w:val="28"/>
          <w:szCs w:val="28"/>
        </w:rPr>
        <w:t>, можно привести в качестве примера в</w:t>
      </w:r>
      <w:r w:rsidRPr="00B94734">
        <w:rPr>
          <w:rFonts w:ascii="Times New Roman" w:hAnsi="Times New Roman" w:cs="Times New Roman"/>
          <w:sz w:val="28"/>
          <w:szCs w:val="28"/>
        </w:rPr>
        <w:t>с</w:t>
      </w:r>
      <w:r w:rsidR="007605D0">
        <w:rPr>
          <w:rFonts w:ascii="Times New Roman" w:hAnsi="Times New Roman" w:cs="Times New Roman"/>
          <w:sz w:val="28"/>
          <w:szCs w:val="28"/>
        </w:rPr>
        <w:t>ю</w:t>
      </w:r>
      <w:r w:rsidRPr="00B94734">
        <w:rPr>
          <w:rFonts w:ascii="Times New Roman" w:hAnsi="Times New Roman" w:cs="Times New Roman"/>
          <w:sz w:val="28"/>
          <w:szCs w:val="28"/>
        </w:rPr>
        <w:t xml:space="preserve"> миров</w:t>
      </w:r>
      <w:r w:rsidR="007605D0">
        <w:rPr>
          <w:rFonts w:ascii="Times New Roman" w:hAnsi="Times New Roman" w:cs="Times New Roman"/>
          <w:sz w:val="28"/>
          <w:szCs w:val="28"/>
        </w:rPr>
        <w:t>ую</w:t>
      </w:r>
      <w:r w:rsidRPr="00B94734">
        <w:rPr>
          <w:rFonts w:ascii="Times New Roman" w:hAnsi="Times New Roman" w:cs="Times New Roman"/>
          <w:sz w:val="28"/>
          <w:szCs w:val="28"/>
        </w:rPr>
        <w:t xml:space="preserve"> киноиндустри</w:t>
      </w:r>
      <w:r w:rsidR="007605D0">
        <w:rPr>
          <w:rFonts w:ascii="Times New Roman" w:hAnsi="Times New Roman" w:cs="Times New Roman"/>
          <w:sz w:val="28"/>
          <w:szCs w:val="28"/>
        </w:rPr>
        <w:t>ю, которая</w:t>
      </w:r>
      <w:r w:rsidRPr="00B94734">
        <w:rPr>
          <w:rFonts w:ascii="Times New Roman" w:hAnsi="Times New Roman" w:cs="Times New Roman"/>
          <w:sz w:val="28"/>
          <w:szCs w:val="28"/>
        </w:rPr>
        <w:t xml:space="preserve"> заработала в 2019 году 42.5 млрд. до</w:t>
      </w:r>
      <w:r w:rsidR="009E6FC0">
        <w:rPr>
          <w:rFonts w:ascii="Times New Roman" w:hAnsi="Times New Roman" w:cs="Times New Roman"/>
          <w:sz w:val="28"/>
          <w:szCs w:val="28"/>
        </w:rPr>
        <w:t xml:space="preserve">лларов с приростом </w:t>
      </w:r>
      <w:r w:rsidRPr="00B94734">
        <w:rPr>
          <w:rFonts w:ascii="Times New Roman" w:hAnsi="Times New Roman" w:cs="Times New Roman"/>
          <w:sz w:val="28"/>
          <w:szCs w:val="28"/>
        </w:rPr>
        <w:t xml:space="preserve">+1.9% к предыдущему году. </w:t>
      </w:r>
      <w:r>
        <w:rPr>
          <w:rFonts w:ascii="Times New Roman" w:hAnsi="Times New Roman" w:cs="Times New Roman"/>
          <w:sz w:val="28"/>
          <w:szCs w:val="28"/>
        </w:rPr>
        <w:t xml:space="preserve">Продолжающаяся в 2020 году эпидемия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proofErr w:type="spellEnd"/>
      <w:r w:rsidRPr="00B94734">
        <w:rPr>
          <w:rFonts w:ascii="Times New Roman" w:hAnsi="Times New Roman" w:cs="Times New Roman"/>
          <w:sz w:val="28"/>
          <w:szCs w:val="28"/>
        </w:rPr>
        <w:t xml:space="preserve">-19 </w:t>
      </w:r>
      <w:r>
        <w:rPr>
          <w:rFonts w:ascii="Times New Roman" w:hAnsi="Times New Roman" w:cs="Times New Roman"/>
          <w:sz w:val="28"/>
          <w:szCs w:val="28"/>
        </w:rPr>
        <w:t>обеспечила еще большее ускорение популярности и количества вовлеченных потребителей, чем оценивалось в конце 2019 года. В настоящее время компьютерные, мобильные и консольные игры выполняют важн</w:t>
      </w:r>
      <w:r w:rsidR="009E6FC0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социальн</w:t>
      </w:r>
      <w:r w:rsidR="009E6FC0">
        <w:rPr>
          <w:rFonts w:ascii="Times New Roman" w:hAnsi="Times New Roman" w:cs="Times New Roman"/>
          <w:sz w:val="28"/>
          <w:szCs w:val="28"/>
        </w:rPr>
        <w:t>ые</w:t>
      </w:r>
      <w:r>
        <w:rPr>
          <w:rFonts w:ascii="Times New Roman" w:hAnsi="Times New Roman" w:cs="Times New Roman"/>
          <w:sz w:val="28"/>
          <w:szCs w:val="28"/>
        </w:rPr>
        <w:t xml:space="preserve"> функци</w:t>
      </w:r>
      <w:r w:rsidR="009E6FC0">
        <w:rPr>
          <w:rFonts w:ascii="Times New Roman" w:hAnsi="Times New Roman" w:cs="Times New Roman"/>
          <w:sz w:val="28"/>
          <w:szCs w:val="28"/>
        </w:rPr>
        <w:t xml:space="preserve">иразвлечения, социальных взаимосвязей и взаимной поддержки. </w:t>
      </w:r>
      <w:r w:rsidR="009E6FC0" w:rsidRPr="009E6FC0">
        <w:rPr>
          <w:rFonts w:ascii="Times New Roman" w:hAnsi="Times New Roman" w:cs="Times New Roman"/>
          <w:sz w:val="28"/>
          <w:szCs w:val="28"/>
        </w:rPr>
        <w:t xml:space="preserve">Всемирная организация здравоохранения официально </w:t>
      </w:r>
      <w:r w:rsidR="009E6FC0">
        <w:rPr>
          <w:rFonts w:ascii="Times New Roman" w:hAnsi="Times New Roman" w:cs="Times New Roman"/>
          <w:sz w:val="28"/>
          <w:szCs w:val="28"/>
        </w:rPr>
        <w:t xml:space="preserve">объявила </w:t>
      </w:r>
      <w:proofErr w:type="gramStart"/>
      <w:r w:rsidR="009E6FC0" w:rsidRPr="009E6FC0">
        <w:rPr>
          <w:rFonts w:ascii="Times New Roman" w:hAnsi="Times New Roman" w:cs="Times New Roman"/>
          <w:sz w:val="28"/>
          <w:szCs w:val="28"/>
        </w:rPr>
        <w:t>видеоигры</w:t>
      </w:r>
      <w:proofErr w:type="gramEnd"/>
      <w:r w:rsidR="009E6FC0" w:rsidRPr="009E6FC0">
        <w:rPr>
          <w:rFonts w:ascii="Times New Roman" w:hAnsi="Times New Roman" w:cs="Times New Roman"/>
          <w:sz w:val="28"/>
          <w:szCs w:val="28"/>
        </w:rPr>
        <w:t xml:space="preserve"> рекомендуемой социальной активност</w:t>
      </w:r>
      <w:r w:rsidR="009E6FC0">
        <w:rPr>
          <w:rFonts w:ascii="Times New Roman" w:hAnsi="Times New Roman" w:cs="Times New Roman"/>
          <w:sz w:val="28"/>
          <w:szCs w:val="28"/>
        </w:rPr>
        <w:t>ью</w:t>
      </w:r>
      <w:r w:rsidR="009E6FC0" w:rsidRPr="009E6FC0">
        <w:rPr>
          <w:rFonts w:ascii="Times New Roman" w:hAnsi="Times New Roman" w:cs="Times New Roman"/>
          <w:sz w:val="28"/>
          <w:szCs w:val="28"/>
        </w:rPr>
        <w:t xml:space="preserve"> во время пандемии.</w:t>
      </w:r>
    </w:p>
    <w:p w:rsidR="009E6FC0" w:rsidRDefault="009E6FC0" w:rsidP="00A37C1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Закрытие границ во многих странах и режим карантина ускорило изменения, происходящие в игровой индустрии. Подобно тому, как десять лет назад многие </w:t>
      </w:r>
      <w:r w:rsidR="00C720F6">
        <w:rPr>
          <w:rFonts w:ascii="Times New Roman" w:hAnsi="Times New Roman" w:cs="Times New Roman"/>
          <w:sz w:val="28"/>
          <w:szCs w:val="28"/>
        </w:rPr>
        <w:t xml:space="preserve">пользователи поменяли предпочтения, отказавшись от традиционных средств массовой информации в пользу социальных сетей, так и сейчас происходит смещение </w:t>
      </w:r>
      <w:r w:rsidR="00EE6312">
        <w:rPr>
          <w:rFonts w:ascii="Times New Roman" w:hAnsi="Times New Roman" w:cs="Times New Roman"/>
          <w:sz w:val="28"/>
          <w:szCs w:val="28"/>
        </w:rPr>
        <w:t xml:space="preserve">интереса от социальных сетей в сторону более интерактивной активности, которую предлагает игровая </w:t>
      </w:r>
      <w:r w:rsidR="007605D0">
        <w:rPr>
          <w:rFonts w:ascii="Times New Roman" w:hAnsi="Times New Roman" w:cs="Times New Roman"/>
          <w:sz w:val="28"/>
          <w:szCs w:val="28"/>
        </w:rPr>
        <w:t>отрасль</w:t>
      </w:r>
      <w:r w:rsidR="00EE6312">
        <w:rPr>
          <w:rFonts w:ascii="Times New Roman" w:hAnsi="Times New Roman" w:cs="Times New Roman"/>
          <w:sz w:val="28"/>
          <w:szCs w:val="28"/>
        </w:rPr>
        <w:t xml:space="preserve">. Крупнейшие социальные сети </w:t>
      </w:r>
      <w:r w:rsidR="00EE6312">
        <w:rPr>
          <w:rFonts w:ascii="Times New Roman" w:hAnsi="Times New Roman" w:cs="Times New Roman"/>
          <w:sz w:val="28"/>
          <w:szCs w:val="28"/>
          <w:lang w:val="en-US"/>
        </w:rPr>
        <w:t>Facebook</w:t>
      </w:r>
      <w:r w:rsidR="00EE631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E6312">
        <w:rPr>
          <w:rFonts w:ascii="Times New Roman" w:hAnsi="Times New Roman" w:cs="Times New Roman"/>
          <w:sz w:val="28"/>
          <w:szCs w:val="28"/>
          <w:lang w:val="en-US"/>
        </w:rPr>
        <w:t>TikTok</w:t>
      </w:r>
      <w:proofErr w:type="spellEnd"/>
      <w:r w:rsidR="00EE6312">
        <w:rPr>
          <w:rFonts w:ascii="Times New Roman" w:hAnsi="Times New Roman" w:cs="Times New Roman"/>
          <w:sz w:val="28"/>
          <w:szCs w:val="28"/>
        </w:rPr>
        <w:t>и другие осозна</w:t>
      </w:r>
      <w:r w:rsidR="00F64F44">
        <w:rPr>
          <w:rFonts w:ascii="Times New Roman" w:hAnsi="Times New Roman" w:cs="Times New Roman"/>
          <w:sz w:val="28"/>
          <w:szCs w:val="28"/>
        </w:rPr>
        <w:t>ют</w:t>
      </w:r>
      <w:r w:rsidR="00EE6312">
        <w:rPr>
          <w:rFonts w:ascii="Times New Roman" w:hAnsi="Times New Roman" w:cs="Times New Roman"/>
          <w:sz w:val="28"/>
          <w:szCs w:val="28"/>
        </w:rPr>
        <w:t xml:space="preserve"> возможности и риски, связанные с переориентацией их клиентов на </w:t>
      </w:r>
      <w:r w:rsidR="00F64F44">
        <w:rPr>
          <w:rFonts w:ascii="Times New Roman" w:hAnsi="Times New Roman" w:cs="Times New Roman"/>
          <w:sz w:val="28"/>
          <w:szCs w:val="28"/>
        </w:rPr>
        <w:t>интерактивные развлечения и инвестируют значительные средства в разработку игр и изучение их потенциала.</w:t>
      </w:r>
    </w:p>
    <w:p w:rsidR="00F64F44" w:rsidRDefault="00E351FA" w:rsidP="00A37C1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Опыт социальных взаимодействий внутри игры выходит далеко за пределы непосредственно игровых механик. Так, в одной из наиболее популярных игр современности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Fortnite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проходят виртуальные концерты </w:t>
      </w:r>
      <w:r w:rsidR="007605D0">
        <w:rPr>
          <w:rFonts w:ascii="Times New Roman" w:hAnsi="Times New Roman" w:cs="Times New Roman"/>
          <w:sz w:val="28"/>
          <w:szCs w:val="28"/>
        </w:rPr>
        <w:t>перед миллионами подключенных зрителей</w:t>
      </w:r>
      <w:r w:rsidR="00CD7939">
        <w:rPr>
          <w:rFonts w:ascii="Times New Roman" w:hAnsi="Times New Roman" w:cs="Times New Roman"/>
          <w:sz w:val="28"/>
          <w:szCs w:val="28"/>
        </w:rPr>
        <w:t>. Кроме того, в ней и других игровых вселенных пользователи проводят свадебные церемонии, празднуют окончание университета, получение диплома, а также непосредственно зарабатывают деньги внутри игрового мира.</w:t>
      </w:r>
    </w:p>
    <w:p w:rsidR="00CD7939" w:rsidRPr="00CD4F2E" w:rsidRDefault="00CD7939" w:rsidP="00A37C1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Широкое распространение смартфонов обеспечило привлечение новой аудитории в игровую индустрию. По оценкам, к концу 2020 года появятся более 92 миллионов новых игроков из развивающихся стран,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большинство из которых будут иметь доступ </w:t>
      </w:r>
      <w:r w:rsidR="00734C79">
        <w:rPr>
          <w:rFonts w:ascii="Times New Roman" w:hAnsi="Times New Roman" w:cs="Times New Roman"/>
          <w:sz w:val="28"/>
          <w:szCs w:val="28"/>
        </w:rPr>
        <w:t>к играм посредством дешевых мобильных устройств. Доступность аппаратов и развивающиеся модели монетизации игровых сервисов (в частности, возможность играть бесплатно с рекламными вставками) позволяют иметь доступ к экосистеме людям с любым, даже крайне низким, уровнем дохода.</w:t>
      </w:r>
    </w:p>
    <w:p w:rsidR="00180882" w:rsidRDefault="00180882" w:rsidP="00A37C1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Среднегодовой прирост </w:t>
      </w:r>
      <w:r w:rsidR="00C920EB">
        <w:rPr>
          <w:rFonts w:ascii="Times New Roman" w:hAnsi="Times New Roman" w:cs="Times New Roman"/>
          <w:sz w:val="28"/>
          <w:szCs w:val="28"/>
        </w:rPr>
        <w:t xml:space="preserve">потребителей в данной отрасли </w:t>
      </w:r>
      <w:r>
        <w:rPr>
          <w:rFonts w:ascii="Times New Roman" w:hAnsi="Times New Roman" w:cs="Times New Roman"/>
          <w:sz w:val="28"/>
          <w:szCs w:val="28"/>
        </w:rPr>
        <w:t>в период 2015-2023 годы оценивается в +5.6%. Актуальное и прогноз</w:t>
      </w:r>
      <w:r w:rsidR="00C920EB">
        <w:rPr>
          <w:rFonts w:ascii="Times New Roman" w:hAnsi="Times New Roman" w:cs="Times New Roman"/>
          <w:sz w:val="28"/>
          <w:szCs w:val="28"/>
        </w:rPr>
        <w:t>ируемое</w:t>
      </w:r>
      <w:r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1761B1">
        <w:rPr>
          <w:rFonts w:ascii="Times New Roman" w:hAnsi="Times New Roman" w:cs="Times New Roman"/>
          <w:sz w:val="28"/>
          <w:szCs w:val="28"/>
        </w:rPr>
        <w:t>игроков</w:t>
      </w:r>
      <w:r>
        <w:rPr>
          <w:rFonts w:ascii="Times New Roman" w:hAnsi="Times New Roman" w:cs="Times New Roman"/>
          <w:sz w:val="28"/>
          <w:szCs w:val="28"/>
        </w:rPr>
        <w:t xml:space="preserve"> отображено на рис. 1.</w:t>
      </w:r>
    </w:p>
    <w:p w:rsidR="00180882" w:rsidRPr="00C920EB" w:rsidRDefault="00180882" w:rsidP="0018088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0882" w:rsidRDefault="00180882" w:rsidP="00180882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</w:rPr>
        <w:drawing>
          <wp:inline distT="0" distB="0" distL="0" distR="0">
            <wp:extent cx="5638800" cy="36957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80882" w:rsidRPr="001761B1" w:rsidRDefault="00180882" w:rsidP="001761B1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0882">
        <w:rPr>
          <w:rFonts w:ascii="Times New Roman" w:hAnsi="Times New Roman" w:cs="Times New Roman"/>
          <w:b/>
          <w:sz w:val="24"/>
          <w:szCs w:val="24"/>
        </w:rPr>
        <w:t>Рис.1</w:t>
      </w:r>
      <w:r w:rsidR="001761B1" w:rsidRPr="001761B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1761B1">
        <w:rPr>
          <w:rFonts w:ascii="Times New Roman" w:hAnsi="Times New Roman" w:cs="Times New Roman"/>
          <w:b/>
          <w:sz w:val="24"/>
          <w:szCs w:val="24"/>
        </w:rPr>
        <w:t>Актуальное и прогнозное значение количества игроков в мире</w:t>
      </w:r>
    </w:p>
    <w:p w:rsidR="00180882" w:rsidRPr="00180882" w:rsidRDefault="00180882" w:rsidP="001761B1">
      <w:pPr>
        <w:spacing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80882">
        <w:rPr>
          <w:rFonts w:ascii="Times New Roman" w:hAnsi="Times New Roman" w:cs="Times New Roman"/>
          <w:i/>
          <w:sz w:val="24"/>
          <w:szCs w:val="24"/>
        </w:rPr>
        <w:t>Построено автором по данным [1]</w:t>
      </w:r>
    </w:p>
    <w:p w:rsidR="00180882" w:rsidRDefault="00180882" w:rsidP="00A37C1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4C79" w:rsidRDefault="00734C79" w:rsidP="00A37C1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Эволюционируют также способы доставки контента к потребителям. Набирают популярность подписочные сервисы, облачный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гейминг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 также концепция доступа к полной экосистеме игрового сервиса компании через любое устройство, которое имеет выход в интернет. Сам игровой процесс может происходить на сервере компании, пользователю лишь доставляется визуализация. Это </w:t>
      </w:r>
      <w:r w:rsidR="004530FA">
        <w:rPr>
          <w:rFonts w:ascii="Times New Roman" w:hAnsi="Times New Roman" w:cs="Times New Roman"/>
          <w:sz w:val="28"/>
          <w:szCs w:val="28"/>
        </w:rPr>
        <w:t>позволяет играть в</w:t>
      </w:r>
      <w:r w:rsidR="003348C9">
        <w:rPr>
          <w:rFonts w:ascii="Times New Roman" w:hAnsi="Times New Roman" w:cs="Times New Roman"/>
          <w:sz w:val="28"/>
          <w:szCs w:val="28"/>
        </w:rPr>
        <w:t xml:space="preserve"> самые современные игры, требующие мощных вычислительных мощностей, с любого устройства, невзирая на его характеристики, что снижает порог входа для клиента, связанный со стоимостью оборудования.</w:t>
      </w:r>
    </w:p>
    <w:p w:rsidR="00BA24B9" w:rsidRDefault="00BA24B9" w:rsidP="00A37C1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Благодаря вышеупомянутым факторам, </w:t>
      </w:r>
      <w:r w:rsidR="000F2CFE">
        <w:rPr>
          <w:rFonts w:ascii="Times New Roman" w:hAnsi="Times New Roman" w:cs="Times New Roman"/>
          <w:sz w:val="28"/>
          <w:szCs w:val="28"/>
        </w:rPr>
        <w:t xml:space="preserve">данный </w:t>
      </w:r>
      <w:r>
        <w:rPr>
          <w:rFonts w:ascii="Times New Roman" w:hAnsi="Times New Roman" w:cs="Times New Roman"/>
          <w:sz w:val="28"/>
          <w:szCs w:val="28"/>
        </w:rPr>
        <w:t>сегмент мобильных игр (включающий игры на смартфонах и планшетах) зан</w:t>
      </w:r>
      <w:r w:rsidR="000F2CFE">
        <w:rPr>
          <w:rFonts w:ascii="Times New Roman" w:hAnsi="Times New Roman" w:cs="Times New Roman"/>
          <w:sz w:val="28"/>
          <w:szCs w:val="28"/>
        </w:rPr>
        <w:t>имает</w:t>
      </w:r>
      <w:r>
        <w:rPr>
          <w:rFonts w:ascii="Times New Roman" w:hAnsi="Times New Roman" w:cs="Times New Roman"/>
          <w:sz w:val="28"/>
          <w:szCs w:val="28"/>
        </w:rPr>
        <w:t xml:space="preserve"> максимальную долю в выручке отрасли </w:t>
      </w:r>
      <w:r w:rsidR="000F2CFE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состави</w:t>
      </w:r>
      <w:r w:rsidR="000F2CF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в 20</w:t>
      </w:r>
      <w:r w:rsidR="000F2CFE" w:rsidRPr="000F2CF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году 77.2 млрд. долларов (49% рынка) и показав прирост в +13.3% по сравнению с 2018 </w:t>
      </w:r>
      <w:r>
        <w:rPr>
          <w:rFonts w:ascii="Times New Roman" w:hAnsi="Times New Roman" w:cs="Times New Roman"/>
          <w:sz w:val="28"/>
          <w:szCs w:val="28"/>
        </w:rPr>
        <w:lastRenderedPageBreak/>
        <w:t>годом. Соответственно, из этой суммы $63.6 млрд. при</w:t>
      </w:r>
      <w:r w:rsidR="000F2CFE">
        <w:rPr>
          <w:rFonts w:ascii="Times New Roman" w:hAnsi="Times New Roman" w:cs="Times New Roman"/>
          <w:sz w:val="28"/>
          <w:szCs w:val="28"/>
        </w:rPr>
        <w:t>дется</w:t>
      </w:r>
      <w:r>
        <w:rPr>
          <w:rFonts w:ascii="Times New Roman" w:hAnsi="Times New Roman" w:cs="Times New Roman"/>
          <w:sz w:val="28"/>
          <w:szCs w:val="28"/>
        </w:rPr>
        <w:t xml:space="preserve"> на игры на смартфонах, а рост этого показателя состави</w:t>
      </w:r>
      <w:r w:rsidR="000F2CF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+15.8% год к году. Наиболее быстро растущие регионы представлены Африкой</w:t>
      </w:r>
      <w:r w:rsidR="00E00B88">
        <w:rPr>
          <w:rFonts w:ascii="Times New Roman" w:hAnsi="Times New Roman" w:cs="Times New Roman"/>
          <w:sz w:val="28"/>
          <w:szCs w:val="28"/>
        </w:rPr>
        <w:t xml:space="preserve">, Ближним Востоком </w:t>
      </w:r>
      <w:r>
        <w:rPr>
          <w:rFonts w:ascii="Times New Roman" w:hAnsi="Times New Roman" w:cs="Times New Roman"/>
          <w:sz w:val="28"/>
          <w:szCs w:val="28"/>
        </w:rPr>
        <w:t xml:space="preserve">и странами </w:t>
      </w:r>
      <w:r w:rsidRPr="00BA24B9">
        <w:rPr>
          <w:rFonts w:ascii="Times New Roman" w:hAnsi="Times New Roman" w:cs="Times New Roman"/>
          <w:sz w:val="28"/>
          <w:szCs w:val="28"/>
        </w:rPr>
        <w:t>Азиатско-Тихоокеанск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A24B9">
        <w:rPr>
          <w:rFonts w:ascii="Times New Roman" w:hAnsi="Times New Roman" w:cs="Times New Roman"/>
          <w:sz w:val="28"/>
          <w:szCs w:val="28"/>
        </w:rPr>
        <w:t xml:space="preserve"> регион</w:t>
      </w:r>
      <w:r>
        <w:rPr>
          <w:rFonts w:ascii="Times New Roman" w:hAnsi="Times New Roman" w:cs="Times New Roman"/>
          <w:sz w:val="28"/>
          <w:szCs w:val="28"/>
        </w:rPr>
        <w:t>а. Европа, Северная и Южная Америка и Китай также продемонстрировали значительный рост</w:t>
      </w:r>
      <w:r w:rsidR="00E00B88">
        <w:rPr>
          <w:rFonts w:ascii="Times New Roman" w:hAnsi="Times New Roman" w:cs="Times New Roman"/>
          <w:sz w:val="28"/>
          <w:szCs w:val="28"/>
        </w:rPr>
        <w:t xml:space="preserve"> (см. Таблицу 1)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0B88" w:rsidRDefault="00E00B88" w:rsidP="00E00B88">
      <w:pPr>
        <w:spacing w:line="240" w:lineRule="auto"/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248"/>
        <w:gridCol w:w="2700"/>
        <w:gridCol w:w="2338"/>
      </w:tblGrid>
      <w:tr w:rsidR="00E00B88" w:rsidTr="00043070">
        <w:tc>
          <w:tcPr>
            <w:tcW w:w="9286" w:type="dxa"/>
            <w:gridSpan w:val="3"/>
          </w:tcPr>
          <w:p w:rsidR="00E00B88" w:rsidRDefault="00E472B2" w:rsidP="00E00B8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Глобальная игровая индустрия в 2020 (оценка)</w:t>
            </w:r>
          </w:p>
        </w:tc>
      </w:tr>
      <w:tr w:rsidR="00E00B88" w:rsidTr="00E472B2">
        <w:tc>
          <w:tcPr>
            <w:tcW w:w="4248" w:type="dxa"/>
            <w:vAlign w:val="center"/>
          </w:tcPr>
          <w:p w:rsidR="00E00B88" w:rsidRDefault="00E472B2" w:rsidP="00E472B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</w:t>
            </w:r>
          </w:p>
        </w:tc>
        <w:tc>
          <w:tcPr>
            <w:tcW w:w="2700" w:type="dxa"/>
            <w:vAlign w:val="center"/>
          </w:tcPr>
          <w:p w:rsidR="00E472B2" w:rsidRDefault="00E472B2" w:rsidP="00E472B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рынка,</w:t>
            </w:r>
          </w:p>
          <w:p w:rsidR="00E00B88" w:rsidRDefault="00E472B2" w:rsidP="00E472B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$ </w:t>
            </w:r>
            <w:r w:rsidR="00980EFC">
              <w:rPr>
                <w:rFonts w:ascii="Times New Roman" w:hAnsi="Times New Roman" w:cs="Times New Roman"/>
                <w:sz w:val="28"/>
                <w:szCs w:val="28"/>
              </w:rPr>
              <w:t>млрд.</w:t>
            </w:r>
          </w:p>
        </w:tc>
        <w:tc>
          <w:tcPr>
            <w:tcW w:w="2338" w:type="dxa"/>
            <w:vAlign w:val="center"/>
          </w:tcPr>
          <w:p w:rsidR="00E00B88" w:rsidRDefault="00E472B2" w:rsidP="00E472B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Прирост к 2019,</w:t>
            </w:r>
          </w:p>
          <w:p w:rsidR="00E472B2" w:rsidRDefault="00E472B2" w:rsidP="00E472B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  <w:tr w:rsidR="00E472B2" w:rsidTr="00E472B2">
        <w:tc>
          <w:tcPr>
            <w:tcW w:w="4248" w:type="dxa"/>
          </w:tcPr>
          <w:p w:rsidR="00E472B2" w:rsidRDefault="00E472B2" w:rsidP="000800B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Европа</w:t>
            </w:r>
          </w:p>
        </w:tc>
        <w:tc>
          <w:tcPr>
            <w:tcW w:w="2700" w:type="dxa"/>
          </w:tcPr>
          <w:p w:rsidR="00E472B2" w:rsidRDefault="00E472B2" w:rsidP="00E472B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29.6</w:t>
            </w:r>
          </w:p>
        </w:tc>
        <w:tc>
          <w:tcPr>
            <w:tcW w:w="2338" w:type="dxa"/>
          </w:tcPr>
          <w:p w:rsidR="00E472B2" w:rsidRDefault="00E472B2" w:rsidP="00E472B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+7.8</w:t>
            </w:r>
          </w:p>
        </w:tc>
      </w:tr>
      <w:tr w:rsidR="00E472B2" w:rsidTr="00E472B2">
        <w:tc>
          <w:tcPr>
            <w:tcW w:w="4248" w:type="dxa"/>
          </w:tcPr>
          <w:p w:rsidR="00E472B2" w:rsidRDefault="00E472B2" w:rsidP="000800B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Латинская Америка</w:t>
            </w:r>
          </w:p>
        </w:tc>
        <w:tc>
          <w:tcPr>
            <w:tcW w:w="2700" w:type="dxa"/>
          </w:tcPr>
          <w:p w:rsidR="00E472B2" w:rsidRDefault="00E472B2" w:rsidP="00E472B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</w:t>
            </w:r>
          </w:p>
        </w:tc>
        <w:tc>
          <w:tcPr>
            <w:tcW w:w="2338" w:type="dxa"/>
          </w:tcPr>
          <w:p w:rsidR="00E472B2" w:rsidRDefault="00E472B2" w:rsidP="00E472B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+10.3</w:t>
            </w:r>
          </w:p>
        </w:tc>
      </w:tr>
      <w:tr w:rsidR="00E472B2" w:rsidTr="00E472B2">
        <w:tc>
          <w:tcPr>
            <w:tcW w:w="4248" w:type="dxa"/>
          </w:tcPr>
          <w:p w:rsidR="00E472B2" w:rsidRDefault="00E472B2" w:rsidP="000800B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Северная Америка</w:t>
            </w:r>
          </w:p>
        </w:tc>
        <w:tc>
          <w:tcPr>
            <w:tcW w:w="2700" w:type="dxa"/>
          </w:tcPr>
          <w:p w:rsidR="00E472B2" w:rsidRDefault="00E472B2" w:rsidP="00E472B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40.0</w:t>
            </w:r>
          </w:p>
        </w:tc>
        <w:tc>
          <w:tcPr>
            <w:tcW w:w="2338" w:type="dxa"/>
          </w:tcPr>
          <w:p w:rsidR="00E472B2" w:rsidRDefault="00E472B2" w:rsidP="00E472B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+8.5</w:t>
            </w:r>
          </w:p>
        </w:tc>
      </w:tr>
      <w:tr w:rsidR="00E472B2" w:rsidTr="00E472B2">
        <w:tc>
          <w:tcPr>
            <w:tcW w:w="4248" w:type="dxa"/>
          </w:tcPr>
          <w:p w:rsidR="00E472B2" w:rsidRDefault="00E472B2" w:rsidP="000800B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Ближний Восток и Африка</w:t>
            </w:r>
          </w:p>
        </w:tc>
        <w:tc>
          <w:tcPr>
            <w:tcW w:w="2700" w:type="dxa"/>
          </w:tcPr>
          <w:p w:rsidR="00E472B2" w:rsidRDefault="00E472B2" w:rsidP="00E472B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5.4</w:t>
            </w:r>
          </w:p>
        </w:tc>
        <w:tc>
          <w:tcPr>
            <w:tcW w:w="2338" w:type="dxa"/>
          </w:tcPr>
          <w:p w:rsidR="00E472B2" w:rsidRDefault="00E472B2" w:rsidP="00E472B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+14.5</w:t>
            </w:r>
          </w:p>
        </w:tc>
      </w:tr>
      <w:tr w:rsidR="00E472B2" w:rsidTr="00E472B2">
        <w:tc>
          <w:tcPr>
            <w:tcW w:w="4248" w:type="dxa"/>
          </w:tcPr>
          <w:p w:rsidR="00E472B2" w:rsidRDefault="00E472B2" w:rsidP="000800B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Азиатско-Тихоокеанский регион</w:t>
            </w:r>
          </w:p>
        </w:tc>
        <w:tc>
          <w:tcPr>
            <w:tcW w:w="2700" w:type="dxa"/>
          </w:tcPr>
          <w:p w:rsidR="00E472B2" w:rsidRDefault="00E472B2" w:rsidP="00E472B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78.4</w:t>
            </w:r>
          </w:p>
        </w:tc>
        <w:tc>
          <w:tcPr>
            <w:tcW w:w="2338" w:type="dxa"/>
          </w:tcPr>
          <w:p w:rsidR="00E472B2" w:rsidRDefault="00E472B2" w:rsidP="00E472B2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+9.9</w:t>
            </w:r>
          </w:p>
        </w:tc>
      </w:tr>
      <w:tr w:rsidR="000F2CFE" w:rsidRPr="00B0542D" w:rsidTr="00FC2DDF">
        <w:tc>
          <w:tcPr>
            <w:tcW w:w="9286" w:type="dxa"/>
            <w:gridSpan w:val="3"/>
          </w:tcPr>
          <w:p w:rsidR="000F2CFE" w:rsidRPr="000F2CFE" w:rsidRDefault="000F2CFE" w:rsidP="000F2CFE">
            <w:pPr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</w:t>
            </w:r>
            <w:r w:rsidRPr="000F2C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Newzoo</w:t>
            </w:r>
            <w:r w:rsidRPr="000F2C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"2020 Global Games Market Report"</w:t>
            </w:r>
          </w:p>
        </w:tc>
      </w:tr>
    </w:tbl>
    <w:p w:rsidR="00E00B88" w:rsidRPr="000F2CFE" w:rsidRDefault="00E00B88" w:rsidP="00A37C1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E17CE7" w:rsidRPr="009D6527" w:rsidRDefault="009D6527" w:rsidP="00A37C1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рынка игровой индустрии разнообразна по различным сегментам. Так, среда игровых разработчиков имеет высокий уровень конкуренции и </w:t>
      </w:r>
      <w:r w:rsidR="0031225E">
        <w:rPr>
          <w:rFonts w:ascii="Times New Roman" w:hAnsi="Times New Roman" w:cs="Times New Roman"/>
          <w:sz w:val="28"/>
          <w:szCs w:val="28"/>
        </w:rPr>
        <w:t>низкий</w:t>
      </w:r>
      <w:r>
        <w:rPr>
          <w:rFonts w:ascii="Times New Roman" w:hAnsi="Times New Roman" w:cs="Times New Roman"/>
          <w:sz w:val="28"/>
          <w:szCs w:val="28"/>
        </w:rPr>
        <w:t xml:space="preserve"> порог входа. Многие независимые студии и даже отдельные программисты конкурируют (и подчас очень успешно) с крупными компаниями, имеющими большие бюджеты и штат сотрудников. В то же время производители консолей – высококонцентрированная олигополия, где есть остро соперничающие лидеры. Так, одним из главных событий конца 2020 года предполагается выход новых поколений консолей от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Sony</w:t>
      </w:r>
      <w:r w:rsidRPr="009D652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который может привести к масштабным </w:t>
      </w:r>
      <w:r w:rsidR="0031225E">
        <w:rPr>
          <w:rFonts w:ascii="Times New Roman" w:hAnsi="Times New Roman" w:cs="Times New Roman"/>
          <w:sz w:val="28"/>
          <w:szCs w:val="28"/>
        </w:rPr>
        <w:t xml:space="preserve">изменениямна </w:t>
      </w:r>
      <w:r>
        <w:rPr>
          <w:rFonts w:ascii="Times New Roman" w:hAnsi="Times New Roman" w:cs="Times New Roman"/>
          <w:sz w:val="28"/>
          <w:szCs w:val="28"/>
        </w:rPr>
        <w:t>рынк</w:t>
      </w:r>
      <w:r w:rsidR="0031225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в зависимости от успешности той или иной модели маркетинга и продвижения.</w:t>
      </w:r>
    </w:p>
    <w:p w:rsidR="00F64F44" w:rsidRDefault="00980EFC" w:rsidP="00A37C1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Среди тенденций, касающихся игровой индустрии в последние годы можно выделить следующие:</w:t>
      </w:r>
    </w:p>
    <w:p w:rsidR="00980EFC" w:rsidRPr="003214F3" w:rsidRDefault="00980EFC" w:rsidP="00B0542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F3">
        <w:rPr>
          <w:rFonts w:ascii="Times New Roman" w:hAnsi="Times New Roman" w:cs="Times New Roman"/>
          <w:sz w:val="28"/>
          <w:szCs w:val="28"/>
        </w:rPr>
        <w:t xml:space="preserve">Не </w:t>
      </w:r>
      <w:r w:rsidR="00F815CB" w:rsidRPr="003214F3">
        <w:rPr>
          <w:rFonts w:ascii="Times New Roman" w:hAnsi="Times New Roman" w:cs="Times New Roman"/>
          <w:sz w:val="28"/>
          <w:szCs w:val="28"/>
        </w:rPr>
        <w:t xml:space="preserve">столь </w:t>
      </w:r>
      <w:r w:rsidRPr="003214F3">
        <w:rPr>
          <w:rFonts w:ascii="Times New Roman" w:hAnsi="Times New Roman" w:cs="Times New Roman"/>
          <w:sz w:val="28"/>
          <w:szCs w:val="28"/>
        </w:rPr>
        <w:t xml:space="preserve">быстро как ожидалось </w:t>
      </w:r>
      <w:r w:rsidR="00F815CB" w:rsidRPr="003214F3">
        <w:rPr>
          <w:rFonts w:ascii="Times New Roman" w:hAnsi="Times New Roman" w:cs="Times New Roman"/>
          <w:sz w:val="28"/>
          <w:szCs w:val="28"/>
        </w:rPr>
        <w:t>на ранних этапах</w:t>
      </w:r>
      <w:r w:rsidRPr="003214F3">
        <w:rPr>
          <w:rFonts w:ascii="Times New Roman" w:hAnsi="Times New Roman" w:cs="Times New Roman"/>
          <w:sz w:val="28"/>
          <w:szCs w:val="28"/>
        </w:rPr>
        <w:t>, однако продолжает р</w:t>
      </w:r>
      <w:r w:rsidR="00F815CB" w:rsidRPr="003214F3">
        <w:rPr>
          <w:rFonts w:ascii="Times New Roman" w:hAnsi="Times New Roman" w:cs="Times New Roman"/>
          <w:sz w:val="28"/>
          <w:szCs w:val="28"/>
        </w:rPr>
        <w:t>а</w:t>
      </w:r>
      <w:r w:rsidRPr="003214F3">
        <w:rPr>
          <w:rFonts w:ascii="Times New Roman" w:hAnsi="Times New Roman" w:cs="Times New Roman"/>
          <w:sz w:val="28"/>
          <w:szCs w:val="28"/>
        </w:rPr>
        <w:t>ст</w:t>
      </w:r>
      <w:r w:rsidR="00F815CB" w:rsidRPr="003214F3">
        <w:rPr>
          <w:rFonts w:ascii="Times New Roman" w:hAnsi="Times New Roman" w:cs="Times New Roman"/>
          <w:sz w:val="28"/>
          <w:szCs w:val="28"/>
        </w:rPr>
        <w:t>и</w:t>
      </w:r>
      <w:r w:rsidR="006711D2" w:rsidRPr="003214F3">
        <w:rPr>
          <w:rFonts w:ascii="Times New Roman" w:hAnsi="Times New Roman" w:cs="Times New Roman"/>
          <w:sz w:val="28"/>
          <w:szCs w:val="28"/>
        </w:rPr>
        <w:t xml:space="preserve"> интерес к шлемам виртуальной реальности </w:t>
      </w:r>
      <w:r w:rsidR="006711D2" w:rsidRPr="003214F3">
        <w:rPr>
          <w:rFonts w:ascii="Times New Roman" w:hAnsi="Times New Roman" w:cs="Times New Roman"/>
          <w:sz w:val="28"/>
          <w:szCs w:val="28"/>
          <w:lang w:val="en-US"/>
        </w:rPr>
        <w:t>VR</w:t>
      </w:r>
      <w:r w:rsidR="006711D2" w:rsidRPr="003214F3">
        <w:rPr>
          <w:rFonts w:ascii="Times New Roman" w:hAnsi="Times New Roman" w:cs="Times New Roman"/>
          <w:sz w:val="28"/>
          <w:szCs w:val="28"/>
        </w:rPr>
        <w:t xml:space="preserve">. </w:t>
      </w:r>
      <w:r w:rsidR="00C174ED" w:rsidRPr="003214F3">
        <w:rPr>
          <w:rFonts w:ascii="Times New Roman" w:hAnsi="Times New Roman" w:cs="Times New Roman"/>
          <w:sz w:val="28"/>
          <w:szCs w:val="28"/>
        </w:rPr>
        <w:t xml:space="preserve">В этом году ускорение продаж на данном рынке стимулировал выход игры </w:t>
      </w:r>
      <w:r w:rsidR="00C174ED" w:rsidRPr="003214F3">
        <w:rPr>
          <w:rFonts w:ascii="Times New Roman" w:hAnsi="Times New Roman" w:cs="Times New Roman"/>
          <w:sz w:val="28"/>
          <w:szCs w:val="28"/>
          <w:lang w:val="en-US"/>
        </w:rPr>
        <w:t>Half</w:t>
      </w:r>
      <w:r w:rsidR="00C174ED" w:rsidRPr="003214F3">
        <w:rPr>
          <w:rFonts w:ascii="Times New Roman" w:hAnsi="Times New Roman" w:cs="Times New Roman"/>
          <w:sz w:val="28"/>
          <w:szCs w:val="28"/>
        </w:rPr>
        <w:t>-</w:t>
      </w:r>
      <w:r w:rsidR="00C174ED" w:rsidRPr="003214F3">
        <w:rPr>
          <w:rFonts w:ascii="Times New Roman" w:hAnsi="Times New Roman" w:cs="Times New Roman"/>
          <w:sz w:val="28"/>
          <w:szCs w:val="28"/>
          <w:lang w:val="en-US"/>
        </w:rPr>
        <w:t>Life</w:t>
      </w:r>
      <w:r w:rsidR="00C174ED" w:rsidRPr="003214F3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C174ED" w:rsidRPr="003214F3">
        <w:rPr>
          <w:rFonts w:ascii="Times New Roman" w:hAnsi="Times New Roman" w:cs="Times New Roman"/>
          <w:sz w:val="28"/>
          <w:szCs w:val="28"/>
          <w:lang w:val="en-US"/>
        </w:rPr>
        <w:t>Alyx</w:t>
      </w:r>
      <w:proofErr w:type="spellEnd"/>
      <w:r w:rsidR="00C174ED" w:rsidRPr="003214F3">
        <w:rPr>
          <w:rFonts w:ascii="Times New Roman" w:hAnsi="Times New Roman" w:cs="Times New Roman"/>
          <w:sz w:val="28"/>
          <w:szCs w:val="28"/>
        </w:rPr>
        <w:t>, которая продемонстрировала высокие технические характеристики в графике. Считается, что именно графическая производительность является одним из ограничивающих факторов для развития виртуальной реальности.</w:t>
      </w:r>
    </w:p>
    <w:p w:rsidR="00CC4311" w:rsidRPr="003214F3" w:rsidRDefault="00F815CB" w:rsidP="00B0542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F3">
        <w:rPr>
          <w:rFonts w:ascii="Times New Roman" w:hAnsi="Times New Roman" w:cs="Times New Roman"/>
          <w:sz w:val="28"/>
          <w:szCs w:val="28"/>
        </w:rPr>
        <w:t xml:space="preserve">Индустрией, выделившейся в особый подвид игровой отрасли, является </w:t>
      </w:r>
      <w:proofErr w:type="spellStart"/>
      <w:r w:rsidRPr="003214F3">
        <w:rPr>
          <w:rFonts w:ascii="Times New Roman" w:hAnsi="Times New Roman" w:cs="Times New Roman"/>
          <w:sz w:val="28"/>
          <w:szCs w:val="28"/>
        </w:rPr>
        <w:t>киберспорт</w:t>
      </w:r>
      <w:proofErr w:type="spellEnd"/>
      <w:r w:rsidRPr="003214F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214F3">
        <w:rPr>
          <w:rFonts w:ascii="Times New Roman" w:hAnsi="Times New Roman" w:cs="Times New Roman"/>
          <w:sz w:val="28"/>
          <w:szCs w:val="28"/>
        </w:rPr>
        <w:t>Киберспортивные</w:t>
      </w:r>
      <w:proofErr w:type="spellEnd"/>
      <w:r w:rsidRPr="003214F3">
        <w:rPr>
          <w:rFonts w:ascii="Times New Roman" w:hAnsi="Times New Roman" w:cs="Times New Roman"/>
          <w:sz w:val="28"/>
          <w:szCs w:val="28"/>
        </w:rPr>
        <w:t xml:space="preserve"> турниры по призовым фондам и популярности уже превосходят многие традиционные спортивные соревнования. Так, к примеру, самый значимый </w:t>
      </w:r>
      <w:proofErr w:type="spellStart"/>
      <w:r w:rsidRPr="003214F3">
        <w:rPr>
          <w:rFonts w:ascii="Times New Roman" w:hAnsi="Times New Roman" w:cs="Times New Roman"/>
          <w:sz w:val="28"/>
          <w:szCs w:val="28"/>
        </w:rPr>
        <w:t>киберспортивный</w:t>
      </w:r>
      <w:proofErr w:type="spellEnd"/>
      <w:r w:rsidRPr="003214F3">
        <w:rPr>
          <w:rFonts w:ascii="Times New Roman" w:hAnsi="Times New Roman" w:cs="Times New Roman"/>
          <w:sz w:val="28"/>
          <w:szCs w:val="28"/>
        </w:rPr>
        <w:t xml:space="preserve"> турнир </w:t>
      </w:r>
      <w:proofErr w:type="spellStart"/>
      <w:r w:rsidRPr="003214F3">
        <w:rPr>
          <w:rFonts w:ascii="Times New Roman" w:hAnsi="Times New Roman" w:cs="Times New Roman"/>
          <w:sz w:val="28"/>
          <w:szCs w:val="28"/>
          <w:lang w:val="en-US"/>
        </w:rPr>
        <w:t>TheInternational</w:t>
      </w:r>
      <w:proofErr w:type="spellEnd"/>
      <w:r w:rsidRPr="003214F3">
        <w:rPr>
          <w:rFonts w:ascii="Times New Roman" w:hAnsi="Times New Roman" w:cs="Times New Roman"/>
          <w:sz w:val="28"/>
          <w:szCs w:val="28"/>
        </w:rPr>
        <w:t xml:space="preserve"> (по игре </w:t>
      </w:r>
      <w:proofErr w:type="spellStart"/>
      <w:r w:rsidRPr="003214F3">
        <w:rPr>
          <w:rFonts w:ascii="Times New Roman" w:hAnsi="Times New Roman" w:cs="Times New Roman"/>
          <w:sz w:val="28"/>
          <w:szCs w:val="28"/>
          <w:lang w:val="en-US"/>
        </w:rPr>
        <w:t>Dota</w:t>
      </w:r>
      <w:proofErr w:type="spellEnd"/>
      <w:r w:rsidRPr="003214F3">
        <w:rPr>
          <w:rFonts w:ascii="Times New Roman" w:hAnsi="Times New Roman" w:cs="Times New Roman"/>
          <w:sz w:val="28"/>
          <w:szCs w:val="28"/>
        </w:rPr>
        <w:t xml:space="preserve"> 2) в 2019 году имел призовой фонд в $34.3 </w:t>
      </w:r>
      <w:r w:rsidRPr="003214F3">
        <w:rPr>
          <w:rFonts w:ascii="Times New Roman" w:hAnsi="Times New Roman" w:cs="Times New Roman"/>
          <w:sz w:val="28"/>
          <w:szCs w:val="28"/>
        </w:rPr>
        <w:lastRenderedPageBreak/>
        <w:t>млн., с приростом +34.5% к призовому фонду аналогичного турнира в $25.5 млн. в 2018 году.</w:t>
      </w:r>
    </w:p>
    <w:p w:rsidR="00F40BDC" w:rsidRDefault="002752DC" w:rsidP="00B0542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F3">
        <w:rPr>
          <w:rFonts w:ascii="Times New Roman" w:hAnsi="Times New Roman" w:cs="Times New Roman"/>
          <w:sz w:val="28"/>
          <w:szCs w:val="28"/>
        </w:rPr>
        <w:t xml:space="preserve">Около 10% в год составляет прирост зрительской базы </w:t>
      </w:r>
      <w:proofErr w:type="spellStart"/>
      <w:r w:rsidRPr="003214F3">
        <w:rPr>
          <w:rFonts w:ascii="Times New Roman" w:hAnsi="Times New Roman" w:cs="Times New Roman"/>
          <w:sz w:val="28"/>
          <w:szCs w:val="28"/>
        </w:rPr>
        <w:t>стриминговоговидеосервиса</w:t>
      </w:r>
      <w:proofErr w:type="spellEnd"/>
      <w:r w:rsidRPr="003214F3">
        <w:rPr>
          <w:rFonts w:ascii="Times New Roman" w:hAnsi="Times New Roman" w:cs="Times New Roman"/>
          <w:sz w:val="28"/>
          <w:szCs w:val="28"/>
          <w:lang w:val="en-US"/>
        </w:rPr>
        <w:t>Twitch</w:t>
      </w:r>
      <w:r w:rsidRPr="003214F3">
        <w:rPr>
          <w:rFonts w:ascii="Times New Roman" w:hAnsi="Times New Roman" w:cs="Times New Roman"/>
          <w:sz w:val="28"/>
          <w:szCs w:val="28"/>
        </w:rPr>
        <w:t xml:space="preserve">. Растет общее число зрителей, количество одновременно присутствующих пользователей, и общее время просмотра, которое составило в 2019 году около 10 млрд. часов. </w:t>
      </w:r>
      <w:r w:rsidRPr="003214F3">
        <w:rPr>
          <w:rFonts w:ascii="Times New Roman" w:hAnsi="Times New Roman" w:cs="Times New Roman"/>
          <w:sz w:val="28"/>
          <w:szCs w:val="28"/>
          <w:lang w:val="en-US"/>
        </w:rPr>
        <w:t>Twitch</w:t>
      </w:r>
      <w:r w:rsidRPr="003214F3">
        <w:rPr>
          <w:rFonts w:ascii="Times New Roman" w:hAnsi="Times New Roman" w:cs="Times New Roman"/>
          <w:sz w:val="28"/>
          <w:szCs w:val="28"/>
        </w:rPr>
        <w:t xml:space="preserve"> – онлайн-</w:t>
      </w:r>
      <w:proofErr w:type="spellStart"/>
      <w:r w:rsidRPr="003214F3">
        <w:rPr>
          <w:rFonts w:ascii="Times New Roman" w:hAnsi="Times New Roman" w:cs="Times New Roman"/>
          <w:sz w:val="28"/>
          <w:szCs w:val="28"/>
        </w:rPr>
        <w:t>видеосервис</w:t>
      </w:r>
      <w:proofErr w:type="spellEnd"/>
      <w:r w:rsidRPr="003214F3">
        <w:rPr>
          <w:rFonts w:ascii="Times New Roman" w:hAnsi="Times New Roman" w:cs="Times New Roman"/>
          <w:sz w:val="28"/>
          <w:szCs w:val="28"/>
        </w:rPr>
        <w:t xml:space="preserve">, специализирующийся на трансляции </w:t>
      </w:r>
      <w:proofErr w:type="spellStart"/>
      <w:r w:rsidRPr="003214F3">
        <w:rPr>
          <w:rFonts w:ascii="Times New Roman" w:hAnsi="Times New Roman" w:cs="Times New Roman"/>
          <w:sz w:val="28"/>
          <w:szCs w:val="28"/>
        </w:rPr>
        <w:t>киберспортивных</w:t>
      </w:r>
      <w:proofErr w:type="spellEnd"/>
      <w:r w:rsidRPr="003214F3">
        <w:rPr>
          <w:rFonts w:ascii="Times New Roman" w:hAnsi="Times New Roman" w:cs="Times New Roman"/>
          <w:sz w:val="28"/>
          <w:szCs w:val="28"/>
        </w:rPr>
        <w:t xml:space="preserve"> турниров и игровом </w:t>
      </w:r>
      <w:proofErr w:type="spellStart"/>
      <w:r w:rsidRPr="003214F3">
        <w:rPr>
          <w:rFonts w:ascii="Times New Roman" w:hAnsi="Times New Roman" w:cs="Times New Roman"/>
          <w:sz w:val="28"/>
          <w:szCs w:val="28"/>
        </w:rPr>
        <w:t>стриминге</w:t>
      </w:r>
      <w:proofErr w:type="spellEnd"/>
      <w:r w:rsidRPr="003214F3">
        <w:rPr>
          <w:rFonts w:ascii="Times New Roman" w:hAnsi="Times New Roman" w:cs="Times New Roman"/>
          <w:sz w:val="28"/>
          <w:szCs w:val="28"/>
        </w:rPr>
        <w:t>.</w:t>
      </w:r>
    </w:p>
    <w:p w:rsidR="003214F3" w:rsidRDefault="00113CCA" w:rsidP="00B0542D">
      <w:pPr>
        <w:pStyle w:val="a4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Параллельно с повышением технических характеристик игр, растет и производительность процессоров для персональных компьютеров и мобильных устройств. В настоящее время ряд решений и инноваций в полупроводниковом производстве осуществляется исключительно для ускорения обработки игровой графики и усиления визуальных эффектов.</w:t>
      </w:r>
    </w:p>
    <w:p w:rsidR="00113CCA" w:rsidRDefault="00113CCA" w:rsidP="00113CC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Рост доходов и клиентской базы обусловили высокую инвестиционную привлекательность отрасли. </w:t>
      </w:r>
      <w:proofErr w:type="gramStart"/>
      <w:r>
        <w:rPr>
          <w:rFonts w:ascii="Times New Roman" w:hAnsi="Times New Roman" w:cs="Times New Roman"/>
          <w:sz w:val="28"/>
          <w:szCs w:val="28"/>
        </w:rPr>
        <w:t>Крупнейшие в игровой индустрии 50 компаний в 2019 году заработали $124.5 млрд., что составляет 85% всего глобального игрового рынка.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таблице 2 представлены 10 публичных компани</w:t>
      </w:r>
      <w:r w:rsidR="0076382D">
        <w:rPr>
          <w:rFonts w:ascii="Times New Roman" w:hAnsi="Times New Roman" w:cs="Times New Roman"/>
          <w:sz w:val="28"/>
          <w:szCs w:val="28"/>
        </w:rPr>
        <w:t>й-флагманов игровой индустрии.</w:t>
      </w:r>
    </w:p>
    <w:p w:rsidR="00D92A36" w:rsidRDefault="00D92A36" w:rsidP="00D92A36">
      <w:pPr>
        <w:spacing w:line="240" w:lineRule="auto"/>
        <w:ind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2.</w:t>
      </w:r>
    </w:p>
    <w:tbl>
      <w:tblPr>
        <w:tblW w:w="9195" w:type="dxa"/>
        <w:tblInd w:w="93" w:type="dxa"/>
        <w:tblLook w:val="04A0" w:firstRow="1" w:lastRow="0" w:firstColumn="1" w:lastColumn="0" w:noHBand="0" w:noVBand="1"/>
      </w:tblPr>
      <w:tblGrid>
        <w:gridCol w:w="1248"/>
        <w:gridCol w:w="2547"/>
        <w:gridCol w:w="1440"/>
        <w:gridCol w:w="2048"/>
        <w:gridCol w:w="1912"/>
      </w:tblGrid>
      <w:tr w:rsidR="00B07E1D" w:rsidRPr="00B07E1D" w:rsidTr="00B07E1D">
        <w:trPr>
          <w:trHeight w:val="345"/>
        </w:trPr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D92A3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Крупнейшие по выручке компании игровой индустрии</w:t>
            </w:r>
          </w:p>
        </w:tc>
      </w:tr>
      <w:tr w:rsidR="00B07E1D" w:rsidRPr="00B07E1D" w:rsidTr="00B07E1D">
        <w:trPr>
          <w:trHeight w:val="691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Позиция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Компания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Страна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Выручка в 2019, $млрд.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07E1D" w:rsidRPr="00B07E1D" w:rsidRDefault="00B07E1D" w:rsidP="00574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Прирост </w:t>
            </w:r>
            <w:r w:rsidR="005740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</w:t>
            </w: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 год</w:t>
            </w:r>
          </w:p>
        </w:tc>
      </w:tr>
      <w:tr w:rsidR="00B07E1D" w:rsidRPr="00B07E1D" w:rsidTr="00B07E1D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Tencent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Китай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20.545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10%</w:t>
            </w:r>
          </w:p>
        </w:tc>
      </w:tr>
      <w:tr w:rsidR="00B07E1D" w:rsidRPr="00B07E1D" w:rsidTr="00B07E1D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Sony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Япония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13.133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-8%</w:t>
            </w:r>
          </w:p>
        </w:tc>
      </w:tr>
      <w:tr w:rsidR="00B07E1D" w:rsidRPr="00B07E1D" w:rsidTr="00B07E1D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Apple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США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10.832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14%</w:t>
            </w:r>
          </w:p>
        </w:tc>
      </w:tr>
      <w:tr w:rsidR="00B07E1D" w:rsidRPr="00B07E1D" w:rsidTr="00B07E1D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Microsoft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США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9.273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-4%</w:t>
            </w:r>
          </w:p>
        </w:tc>
      </w:tr>
      <w:tr w:rsidR="00B07E1D" w:rsidRPr="00B07E1D" w:rsidTr="00B07E1D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Google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США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7.35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13%</w:t>
            </w:r>
          </w:p>
        </w:tc>
      </w:tr>
      <w:tr w:rsidR="00B07E1D" w:rsidRPr="00B07E1D" w:rsidTr="00B07E1D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NetEase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Китай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6.759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16%</w:t>
            </w:r>
          </w:p>
        </w:tc>
      </w:tr>
      <w:tr w:rsidR="00B07E1D" w:rsidRPr="00B07E1D" w:rsidTr="00B07E1D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ActivisionBlizzard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США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5.841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-15%</w:t>
            </w:r>
          </w:p>
        </w:tc>
      </w:tr>
      <w:tr w:rsidR="00B07E1D" w:rsidRPr="00B07E1D" w:rsidTr="00B07E1D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ElectronicArts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США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5.388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2%</w:t>
            </w:r>
          </w:p>
        </w:tc>
      </w:tr>
      <w:tr w:rsidR="00B07E1D" w:rsidRPr="00B07E1D" w:rsidTr="00B07E1D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Nintendo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Япония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4.954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13%</w:t>
            </w:r>
          </w:p>
        </w:tc>
      </w:tr>
      <w:tr w:rsidR="00B07E1D" w:rsidRPr="00B07E1D" w:rsidTr="00B07E1D">
        <w:trPr>
          <w:trHeight w:val="345"/>
        </w:trPr>
        <w:tc>
          <w:tcPr>
            <w:tcW w:w="1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BandaiNamco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Япония</w:t>
            </w:r>
          </w:p>
        </w:tc>
        <w:tc>
          <w:tcPr>
            <w:tcW w:w="2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2.968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2%</w:t>
            </w:r>
          </w:p>
        </w:tc>
      </w:tr>
      <w:tr w:rsidR="00B07E1D" w:rsidRPr="00B0542D" w:rsidTr="00B07E1D">
        <w:trPr>
          <w:trHeight w:val="345"/>
        </w:trPr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7E1D" w:rsidRPr="00B07E1D" w:rsidRDefault="00B07E1D" w:rsidP="00B07E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Источник</w:t>
            </w:r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Newzoo</w:t>
            </w:r>
            <w:proofErr w:type="spellEnd"/>
            <w:r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"2020 Global Games Market Report</w:t>
            </w:r>
            <w:r w:rsidR="004706ED" w:rsidRPr="00B07E1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"</w:t>
            </w:r>
          </w:p>
        </w:tc>
      </w:tr>
    </w:tbl>
    <w:p w:rsidR="003214F3" w:rsidRPr="00557748" w:rsidRDefault="00D92A36" w:rsidP="00B054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Ожидается, что инвестиционные перспективы игровой индустрии </w:t>
      </w:r>
      <w:r w:rsidR="004D4F18">
        <w:rPr>
          <w:rFonts w:ascii="Times New Roman" w:hAnsi="Times New Roman" w:cs="Times New Roman"/>
          <w:sz w:val="28"/>
          <w:szCs w:val="28"/>
        </w:rPr>
        <w:t>сохранят свою привлекательность на годы вперед</w:t>
      </w:r>
      <w:r w:rsidR="004706ED">
        <w:rPr>
          <w:rFonts w:ascii="Times New Roman" w:hAnsi="Times New Roman" w:cs="Times New Roman"/>
          <w:sz w:val="28"/>
          <w:szCs w:val="28"/>
        </w:rPr>
        <w:t>, а сама индустрия проявит себя в новых феноменах</w:t>
      </w:r>
      <w:r w:rsidR="00EC2030">
        <w:rPr>
          <w:rFonts w:ascii="Times New Roman" w:hAnsi="Times New Roman" w:cs="Times New Roman"/>
          <w:sz w:val="28"/>
          <w:szCs w:val="28"/>
        </w:rPr>
        <w:t xml:space="preserve"> социальной и экономической активности.</w:t>
      </w:r>
    </w:p>
    <w:p w:rsidR="00A37C15" w:rsidRPr="00D92A36" w:rsidRDefault="00A37C15" w:rsidP="00B054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37C15" w:rsidRPr="00734C79" w:rsidRDefault="00A37C15" w:rsidP="00B0542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34C79">
        <w:rPr>
          <w:rFonts w:ascii="Times New Roman" w:hAnsi="Times New Roman" w:cs="Times New Roman"/>
          <w:b/>
          <w:i/>
          <w:sz w:val="24"/>
          <w:szCs w:val="24"/>
        </w:rPr>
        <w:t>Список использованной литературы:</w:t>
      </w:r>
    </w:p>
    <w:p w:rsidR="00A37C15" w:rsidRPr="00A37C15" w:rsidRDefault="002B287A" w:rsidP="00B0542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7C15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en-US"/>
        </w:rPr>
        <w:t>2020 Global Games Market Report</w:t>
      </w:r>
      <w:r w:rsidRPr="00A37C15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en-US"/>
        </w:rPr>
        <w:t>.[</w:t>
      </w:r>
      <w:r>
        <w:rPr>
          <w:rFonts w:ascii="Times New Roman" w:hAnsi="Times New Roman" w:cs="Times New Roman"/>
          <w:sz w:val="24"/>
          <w:szCs w:val="24"/>
        </w:rPr>
        <w:t>Электронныйресурс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]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Newzoo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URL:</w:t>
      </w:r>
      <w:r w:rsidRPr="002B287A">
        <w:rPr>
          <w:rFonts w:ascii="Times New Roman" w:hAnsi="Times New Roman" w:cs="Times New Roman"/>
          <w:sz w:val="24"/>
          <w:szCs w:val="24"/>
          <w:lang w:val="en-US"/>
        </w:rPr>
        <w:t>https://newzoo.com/.</w:t>
      </w:r>
      <w:r w:rsidR="00A37C15" w:rsidRPr="00A37C15">
        <w:rPr>
          <w:rFonts w:ascii="Times New Roman" w:hAnsi="Times New Roman" w:cs="Times New Roman"/>
          <w:sz w:val="24"/>
          <w:szCs w:val="24"/>
          <w:lang w:val="en-US"/>
        </w:rPr>
        <w:t xml:space="preserve"> 20</w:t>
      </w:r>
      <w:r>
        <w:rPr>
          <w:rFonts w:ascii="Times New Roman" w:hAnsi="Times New Roman" w:cs="Times New Roman"/>
          <w:sz w:val="24"/>
          <w:szCs w:val="24"/>
          <w:lang w:val="en-US"/>
        </w:rPr>
        <w:t>20</w:t>
      </w:r>
    </w:p>
    <w:p w:rsidR="00A37C15" w:rsidRPr="00A37C15" w:rsidRDefault="00D92A36" w:rsidP="00B0542D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D92A36">
        <w:rPr>
          <w:rFonts w:ascii="Times New Roman" w:hAnsi="Times New Roman" w:cs="Times New Roman"/>
          <w:sz w:val="24"/>
          <w:szCs w:val="24"/>
          <w:lang w:val="en-US"/>
        </w:rPr>
        <w:t>Egenfeldt</w:t>
      </w:r>
      <w:proofErr w:type="spellEnd"/>
      <w:r w:rsidRPr="00D92A36">
        <w:rPr>
          <w:rFonts w:ascii="Times New Roman" w:hAnsi="Times New Roman" w:cs="Times New Roman"/>
          <w:sz w:val="24"/>
          <w:szCs w:val="24"/>
          <w:lang w:val="en-US"/>
        </w:rPr>
        <w:t xml:space="preserve">-Nielsen S., </w:t>
      </w:r>
      <w:proofErr w:type="spellStart"/>
      <w:r w:rsidRPr="00D92A36">
        <w:rPr>
          <w:rFonts w:ascii="Times New Roman" w:hAnsi="Times New Roman" w:cs="Times New Roman"/>
          <w:sz w:val="24"/>
          <w:szCs w:val="24"/>
          <w:lang w:val="en-US"/>
        </w:rPr>
        <w:t>Heide</w:t>
      </w:r>
      <w:proofErr w:type="spellEnd"/>
      <w:r w:rsidRPr="00D92A3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D92A36">
        <w:rPr>
          <w:rFonts w:ascii="Times New Roman" w:hAnsi="Times New Roman" w:cs="Times New Roman"/>
          <w:sz w:val="24"/>
          <w:szCs w:val="24"/>
          <w:lang w:val="en-US"/>
        </w:rPr>
        <w:t>Smith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A37C15">
        <w:rPr>
          <w:rFonts w:ascii="Times New Roman" w:hAnsi="Times New Roman" w:cs="Times New Roman"/>
          <w:sz w:val="24"/>
          <w:szCs w:val="24"/>
          <w:lang w:val="en-US"/>
        </w:rPr>
        <w:t>"</w:t>
      </w:r>
      <w:r w:rsidRPr="00D92A36">
        <w:rPr>
          <w:rFonts w:ascii="Times New Roman" w:hAnsi="Times New Roman" w:cs="Times New Roman"/>
          <w:sz w:val="24"/>
          <w:szCs w:val="24"/>
          <w:lang w:val="en-US"/>
        </w:rPr>
        <w:t>Understanding Video Games: The Essential Introduction</w:t>
      </w:r>
      <w:r w:rsidRPr="00A37C15">
        <w:rPr>
          <w:rFonts w:ascii="Times New Roman" w:hAnsi="Times New Roman" w:cs="Times New Roman"/>
          <w:sz w:val="24"/>
          <w:szCs w:val="24"/>
          <w:lang w:val="en-US"/>
        </w:rPr>
        <w:t>"</w:t>
      </w:r>
      <w:r w:rsidR="00A37C15" w:rsidRPr="00A37C15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F52924">
        <w:rPr>
          <w:rFonts w:ascii="Times New Roman" w:hAnsi="Times New Roman" w:cs="Times New Roman"/>
          <w:sz w:val="24"/>
          <w:szCs w:val="24"/>
          <w:lang w:val="en-US"/>
        </w:rPr>
        <w:t>Routledge</w:t>
      </w:r>
      <w:proofErr w:type="spellEnd"/>
      <w:r w:rsidR="00F52924">
        <w:rPr>
          <w:rFonts w:ascii="Times New Roman" w:hAnsi="Times New Roman" w:cs="Times New Roman"/>
          <w:sz w:val="24"/>
          <w:szCs w:val="24"/>
          <w:lang w:val="en-US"/>
        </w:rPr>
        <w:t>, 2019</w:t>
      </w:r>
    </w:p>
    <w:sectPr w:rsidR="00A37C15" w:rsidRPr="00A37C15" w:rsidSect="005E104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6BF5"/>
    <w:multiLevelType w:val="hybridMultilevel"/>
    <w:tmpl w:val="CDB04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85484"/>
    <w:multiLevelType w:val="hybridMultilevel"/>
    <w:tmpl w:val="08AE5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8B52BB"/>
    <w:multiLevelType w:val="hybridMultilevel"/>
    <w:tmpl w:val="4D2E5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E104B"/>
    <w:rsid w:val="000D45D6"/>
    <w:rsid w:val="000F2CFE"/>
    <w:rsid w:val="00113CCA"/>
    <w:rsid w:val="001761B1"/>
    <w:rsid w:val="00180882"/>
    <w:rsid w:val="001D7FB9"/>
    <w:rsid w:val="002038FB"/>
    <w:rsid w:val="002752DC"/>
    <w:rsid w:val="002B287A"/>
    <w:rsid w:val="0031225E"/>
    <w:rsid w:val="003214F3"/>
    <w:rsid w:val="003348C9"/>
    <w:rsid w:val="003C13C3"/>
    <w:rsid w:val="004530FA"/>
    <w:rsid w:val="004706ED"/>
    <w:rsid w:val="004D4F18"/>
    <w:rsid w:val="00512C73"/>
    <w:rsid w:val="00557748"/>
    <w:rsid w:val="005740A8"/>
    <w:rsid w:val="005D1B68"/>
    <w:rsid w:val="005E104B"/>
    <w:rsid w:val="006711D2"/>
    <w:rsid w:val="007001F2"/>
    <w:rsid w:val="00715BE0"/>
    <w:rsid w:val="00734C79"/>
    <w:rsid w:val="00754366"/>
    <w:rsid w:val="007605D0"/>
    <w:rsid w:val="0076382D"/>
    <w:rsid w:val="007A17FB"/>
    <w:rsid w:val="007E5DCC"/>
    <w:rsid w:val="00833C2C"/>
    <w:rsid w:val="00980EFC"/>
    <w:rsid w:val="009A4C76"/>
    <w:rsid w:val="009D6527"/>
    <w:rsid w:val="009E6FC0"/>
    <w:rsid w:val="00A37C15"/>
    <w:rsid w:val="00A749F8"/>
    <w:rsid w:val="00B0542D"/>
    <w:rsid w:val="00B07E1D"/>
    <w:rsid w:val="00B10AF8"/>
    <w:rsid w:val="00B94734"/>
    <w:rsid w:val="00BA24B9"/>
    <w:rsid w:val="00C174ED"/>
    <w:rsid w:val="00C525A0"/>
    <w:rsid w:val="00C720F6"/>
    <w:rsid w:val="00C920EB"/>
    <w:rsid w:val="00CC4311"/>
    <w:rsid w:val="00CD4F2E"/>
    <w:rsid w:val="00CD7939"/>
    <w:rsid w:val="00D30531"/>
    <w:rsid w:val="00D92A36"/>
    <w:rsid w:val="00E00B88"/>
    <w:rsid w:val="00E17CE7"/>
    <w:rsid w:val="00E26818"/>
    <w:rsid w:val="00E351FA"/>
    <w:rsid w:val="00E36A40"/>
    <w:rsid w:val="00E472B2"/>
    <w:rsid w:val="00E50E59"/>
    <w:rsid w:val="00EC2030"/>
    <w:rsid w:val="00EE6312"/>
    <w:rsid w:val="00F40BDC"/>
    <w:rsid w:val="00F52924"/>
    <w:rsid w:val="00F64F44"/>
    <w:rsid w:val="00F815CB"/>
    <w:rsid w:val="00FF53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5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104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37C15"/>
    <w:pPr>
      <w:ind w:left="720"/>
      <w:contextualSpacing/>
    </w:pPr>
  </w:style>
  <w:style w:type="table" w:styleId="a5">
    <w:name w:val="Table Grid"/>
    <w:basedOn w:val="a1"/>
    <w:uiPriority w:val="59"/>
    <w:rsid w:val="00E00B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808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08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3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mfilkin\Documents\Work\Purchase_Febr2020\!%20Science%202020\Shatalin%20-%20Macro\!%20My%20Docs\Graph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3738738738738777E-2"/>
          <c:y val="9.1563709175528321E-2"/>
          <c:w val="0.90148648648648633"/>
          <c:h val="0.8159276997591798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bg1">
                <a:lumMod val="50000"/>
              </a:schemeClr>
            </a:solidFill>
            <a:ln>
              <a:solidFill>
                <a:schemeClr val="tx1"/>
              </a:solidFill>
            </a:ln>
          </c:spPr>
          <c:invertIfNegative val="0"/>
          <c:dPt>
            <c:idx val="5"/>
            <c:invertIfNegative val="0"/>
            <c:bubble3D val="0"/>
            <c:spPr>
              <a:pattFill prst="dkHorz">
                <a:fgClr>
                  <a:schemeClr val="bg1">
                    <a:lumMod val="50000"/>
                  </a:schemeClr>
                </a:fgClr>
                <a:bgClr>
                  <a:schemeClr val="bg1"/>
                </a:bgClr>
              </a:pattFill>
              <a:ln>
                <a:solidFill>
                  <a:schemeClr val="tx1"/>
                </a:solidFill>
              </a:ln>
            </c:spPr>
          </c:dPt>
          <c:dPt>
            <c:idx val="6"/>
            <c:invertIfNegative val="0"/>
            <c:bubble3D val="0"/>
            <c:spPr>
              <a:pattFill prst="dkHorz">
                <a:fgClr>
                  <a:schemeClr val="bg1">
                    <a:lumMod val="50000"/>
                  </a:schemeClr>
                </a:fgClr>
                <a:bgClr>
                  <a:schemeClr val="bg1"/>
                </a:bgClr>
              </a:pattFill>
              <a:ln>
                <a:solidFill>
                  <a:schemeClr val="tx1"/>
                </a:solidFill>
              </a:ln>
            </c:spPr>
          </c:dPt>
          <c:dPt>
            <c:idx val="7"/>
            <c:invertIfNegative val="0"/>
            <c:bubble3D val="0"/>
            <c:spPr>
              <a:pattFill prst="dkHorz">
                <a:fgClr>
                  <a:schemeClr val="bg1">
                    <a:lumMod val="50000"/>
                  </a:schemeClr>
                </a:fgClr>
                <a:bgClr>
                  <a:schemeClr val="bg1"/>
                </a:bgClr>
              </a:pattFill>
              <a:ln>
                <a:solidFill>
                  <a:schemeClr val="tx1"/>
                </a:solidFill>
              </a:ln>
            </c:spPr>
          </c:dPt>
          <c:dPt>
            <c:idx val="8"/>
            <c:invertIfNegative val="0"/>
            <c:bubble3D val="0"/>
            <c:spPr>
              <a:pattFill prst="dkHorz">
                <a:fgClr>
                  <a:schemeClr val="bg1">
                    <a:lumMod val="50000"/>
                  </a:schemeClr>
                </a:fgClr>
                <a:bgClr>
                  <a:schemeClr val="bg1"/>
                </a:bgClr>
              </a:pattFill>
              <a:ln>
                <a:solidFill>
                  <a:schemeClr val="tx1"/>
                </a:solidFill>
              </a:ln>
            </c:spPr>
          </c:dPt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Лист1!$A$3:$A$11</c:f>
              <c:numCache>
                <c:formatCode>General</c:formatCode>
                <c:ptCount val="9"/>
                <c:pt idx="0">
                  <c:v>2015</c:v>
                </c:pt>
                <c:pt idx="1">
                  <c:v>2016</c:v>
                </c:pt>
                <c:pt idx="2">
                  <c:v>2017</c:v>
                </c:pt>
                <c:pt idx="3">
                  <c:v>2018</c:v>
                </c:pt>
                <c:pt idx="4">
                  <c:v>2019</c:v>
                </c:pt>
                <c:pt idx="5">
                  <c:v>2020</c:v>
                </c:pt>
                <c:pt idx="6">
                  <c:v>2021</c:v>
                </c:pt>
                <c:pt idx="7">
                  <c:v>2022</c:v>
                </c:pt>
                <c:pt idx="8">
                  <c:v>2023</c:v>
                </c:pt>
              </c:numCache>
            </c:numRef>
          </c:cat>
          <c:val>
            <c:numRef>
              <c:f>Лист1!$B$3:$B$11</c:f>
              <c:numCache>
                <c:formatCode>General</c:formatCode>
                <c:ptCount val="9"/>
                <c:pt idx="0">
                  <c:v>1.9900000000000002</c:v>
                </c:pt>
                <c:pt idx="1">
                  <c:v>2.11</c:v>
                </c:pt>
                <c:pt idx="2">
                  <c:v>2.2599999999999998</c:v>
                </c:pt>
                <c:pt idx="3">
                  <c:v>2.42</c:v>
                </c:pt>
                <c:pt idx="4">
                  <c:v>2.5499999999999998</c:v>
                </c:pt>
                <c:pt idx="5">
                  <c:v>2.69</c:v>
                </c:pt>
                <c:pt idx="6">
                  <c:v>2.8099999999999992</c:v>
                </c:pt>
                <c:pt idx="7">
                  <c:v>2.9499999999999997</c:v>
                </c:pt>
                <c:pt idx="8">
                  <c:v>3.07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0038016"/>
        <c:axId val="110048000"/>
      </c:barChart>
      <c:catAx>
        <c:axId val="1100380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10048000"/>
        <c:crosses val="autoZero"/>
        <c:auto val="1"/>
        <c:lblAlgn val="ctr"/>
        <c:lblOffset val="100"/>
        <c:noMultiLvlLbl val="0"/>
      </c:catAx>
      <c:valAx>
        <c:axId val="110048000"/>
        <c:scaling>
          <c:orientation val="minMax"/>
        </c:scaling>
        <c:delete val="0"/>
        <c:axPos val="l"/>
        <c:majorGridlines>
          <c:spPr>
            <a:ln>
              <a:solidFill>
                <a:schemeClr val="tx1"/>
              </a:solidFill>
              <a:prstDash val="dash"/>
            </a:ln>
          </c:spPr>
        </c:majorGridlines>
        <c:title>
          <c:tx>
            <c:rich>
              <a:bodyPr rot="0" vert="horz"/>
              <a:lstStyle/>
              <a:p>
                <a:pPr>
                  <a:defRPr b="0"/>
                </a:pPr>
                <a:r>
                  <a:rPr lang="ru-RU" b="0"/>
                  <a:t>млрд.</a:t>
                </a:r>
                <a:r>
                  <a:rPr lang="ru-RU" b="0" baseline="0"/>
                  <a:t> чел.</a:t>
                </a:r>
                <a:endParaRPr lang="ru-RU" b="0"/>
              </a:p>
            </c:rich>
          </c:tx>
          <c:layout>
            <c:manualLayout>
              <c:xMode val="edge"/>
              <c:yMode val="edge"/>
              <c:x val="0"/>
              <c:y val="1.5894147252212083E-3"/>
            </c:manualLayout>
          </c:layout>
          <c:overlay val="0"/>
        </c:title>
        <c:numFmt formatCode="#,##0.0" sourceLinked="0"/>
        <c:majorTickMark val="out"/>
        <c:minorTickMark val="none"/>
        <c:tickLblPos val="nextTo"/>
        <c:crossAx val="110038016"/>
        <c:crosses val="autoZero"/>
        <c:crossBetween val="between"/>
      </c:valAx>
    </c:plotArea>
    <c:plotVisOnly val="1"/>
    <c:dispBlanksAs val="gap"/>
    <c:showDLblsOverMax val="0"/>
  </c:chart>
  <c:spPr>
    <a:ln>
      <a:noFill/>
    </a:ln>
  </c:spPr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4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Myst</dc:creator>
  <cp:keywords/>
  <dc:description/>
  <cp:lastModifiedBy>1</cp:lastModifiedBy>
  <cp:revision>51</cp:revision>
  <dcterms:created xsi:type="dcterms:W3CDTF">2020-05-25T16:55:00Z</dcterms:created>
  <dcterms:modified xsi:type="dcterms:W3CDTF">2020-08-15T15:30:00Z</dcterms:modified>
</cp:coreProperties>
</file>